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jc w:val="center"/>
        <w:rPr>
          <w:rFonts w:hint="eastAsia" w:ascii="Times New Roman" w:hAnsi="Times New Roman" w:eastAsia="黑体" w:cs="Times New Roman"/>
          <w:b/>
          <w:bCs/>
          <w:sz w:val="36"/>
          <w:szCs w:val="36"/>
          <w:lang w:eastAsia="zh-CN"/>
        </w:rPr>
      </w:pPr>
      <w:r>
        <w:rPr>
          <w:rFonts w:hint="eastAsia" w:ascii="Times New Roman" w:hAnsi="Times New Roman" w:eastAsia="黑体" w:cs="Times New Roman"/>
          <w:b/>
          <w:bCs/>
          <w:sz w:val="36"/>
          <w:szCs w:val="36"/>
          <w:lang w:val="en-US" w:eastAsia="zh-CN"/>
        </w:rPr>
        <w:t>“</w:t>
      </w:r>
      <w:r>
        <w:rPr>
          <w:rFonts w:hint="eastAsia" w:ascii="Times New Roman" w:hAnsi="Times New Roman" w:eastAsia="黑体" w:cs="Times New Roman"/>
          <w:b/>
          <w:bCs/>
          <w:sz w:val="36"/>
          <w:szCs w:val="36"/>
          <w:lang w:eastAsia="zh-CN"/>
        </w:rPr>
        <w:t>十四五”国家科技创新规划重大问题研究目录</w:t>
      </w:r>
    </w:p>
    <w:p>
      <w:pPr>
        <w:jc w:val="center"/>
        <w:rPr>
          <w:rFonts w:hint="default" w:ascii="Times New Roman" w:hAnsi="Times New Roman" w:eastAsia="黑体" w:cs="Times New Roman"/>
          <w:b/>
          <w:bCs/>
          <w:sz w:val="36"/>
          <w:szCs w:val="36"/>
          <w:lang w:eastAsia="zh-CN"/>
        </w:rPr>
      </w:pPr>
    </w:p>
    <w:tbl>
      <w:tblPr>
        <w:tblStyle w:val="3"/>
        <w:tblW w:w="8575" w:type="dxa"/>
        <w:tblInd w:w="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5"/>
        <w:gridCol w:w="6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75" w:type="dxa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lang w:eastAsia="zh-CN"/>
              </w:rPr>
              <w:t>任务</w:t>
            </w: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  <w:t>编号</w:t>
            </w:r>
          </w:p>
        </w:tc>
        <w:tc>
          <w:tcPr>
            <w:tcW w:w="680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lang w:eastAsia="zh-CN"/>
              </w:rPr>
              <w:t>任务</w:t>
            </w: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6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“十四五”科技创新趋势及面临国际形势的研究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6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“十四五”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科技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创新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支撑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引领新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发展格局的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思路和措施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6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“十四五”增强企业技术创新主体地位的措施研究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6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“十四五”增加我国基础研究投入的措施研究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6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“十四五”构建科技、教育、产业、金融紧密融合创新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体系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的措施研究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6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“十四五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”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科技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领域统筹发展与安全的措施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6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“十四五”创新科技成果转化机制研究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6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“十四五”营造国际化科研环境的措施研究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6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“十四五”科技创新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对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社会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的综合影响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及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应对措施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6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“十四五”青年科技人才培养思路和措施研究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6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“十四五”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科技领域加快转变政府职能的措施研究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6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“十四五”科研院所改革思路和措施研究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6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“十四五”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国际科技合作战略研究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6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“十四五”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科学开放和技术开源思路及措施研究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25" w:leftChars="0" w:hanging="425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6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“十四五”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弘扬科学家精神的措施研究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1FC7568"/>
    <w:multiLevelType w:val="singleLevel"/>
    <w:tmpl w:val="C1FC7568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2D3CD7"/>
    <w:rsid w:val="10615E8D"/>
    <w:rsid w:val="29CC34C3"/>
    <w:rsid w:val="2B677989"/>
    <w:rsid w:val="66875850"/>
    <w:rsid w:val="702D3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2020-09-27T08:15:00Z</dcterms:created>
  <dc:creator>ghs_wugz</dc:creator>
  <cp:lastModifiedBy>冬瓜月季</cp:lastModifiedBy>
  <dcterms:modified xsi:type="dcterms:W3CDTF">2020-09-27T08:57:56Z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